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ADF3" w14:textId="6ED0DD4F" w:rsidR="00F16D87" w:rsidRPr="00F16D87" w:rsidRDefault="0097761C">
      <w:pPr>
        <w:rPr>
          <w:b/>
          <w:bCs/>
        </w:rPr>
      </w:pPr>
      <w:r>
        <w:rPr>
          <w:b/>
          <w:bCs/>
        </w:rPr>
        <w:t xml:space="preserve">TGNA Monthly Newsletter: </w:t>
      </w:r>
      <w:r w:rsidR="00F16D87" w:rsidRPr="00F16D87">
        <w:rPr>
          <w:b/>
          <w:bCs/>
        </w:rPr>
        <w:t>January 2026</w:t>
      </w:r>
      <w:r w:rsidR="00F16D87" w:rsidRPr="00F16D87">
        <w:rPr>
          <w:b/>
          <w:bCs/>
        </w:rPr>
        <w:br/>
        <w:t>Preventive Care</w:t>
      </w:r>
    </w:p>
    <w:p w14:paraId="7FD43A4A" w14:textId="79F0A332" w:rsidR="00F16D87" w:rsidRDefault="00F16D87">
      <w:r>
        <w:rPr>
          <w:noProof/>
        </w:rPr>
        <w:drawing>
          <wp:inline distT="0" distB="0" distL="0" distR="0" wp14:anchorId="01359F81" wp14:editId="0CD7F2D1">
            <wp:extent cx="5943600" cy="1216660"/>
            <wp:effectExtent l="19050" t="19050" r="19050" b="21590"/>
            <wp:docPr id="1070099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99001" name="Picture 1070099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6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2"/>
        <w:gridCol w:w="9"/>
        <w:gridCol w:w="169"/>
        <w:gridCol w:w="4590"/>
        <w:gridCol w:w="360"/>
        <w:gridCol w:w="1885"/>
      </w:tblGrid>
      <w:tr w:rsidR="00F16D87" w14:paraId="5B5ECFE7" w14:textId="77777777" w:rsidTr="0072381C"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7659C5" w14:textId="3F89857C" w:rsidR="00F16D87" w:rsidRDefault="00F16D87">
            <w:r w:rsidRPr="00F16D87"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GET A HEAD START ON PREVENTIVE CARE!</w:t>
            </w:r>
          </w:p>
        </w:tc>
      </w:tr>
      <w:tr w:rsidR="00F16D87" w14:paraId="38A2949E" w14:textId="77777777" w:rsidTr="0072381C"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13563" w14:textId="3E3C6911" w:rsidR="0072381C" w:rsidRDefault="0072381C" w:rsidP="00466B73">
            <w:pPr>
              <w:rPr>
                <w:rFonts w:ascii="Calibri" w:hAnsi="Calibri" w:cs="Calibri"/>
              </w:rPr>
            </w:pPr>
            <w:r w:rsidRPr="00466B73">
              <w:rPr>
                <w:rFonts w:ascii="Calibri" w:hAnsi="Calibri" w:cs="Calibri"/>
              </w:rPr>
              <w:t>From benefits questions to finding the right care, help is closer than you think</w:t>
            </w:r>
            <w:r w:rsidR="00466B73">
              <w:rPr>
                <w:rFonts w:ascii="Calibri" w:hAnsi="Calibri" w:cs="Calibri"/>
              </w:rPr>
              <w:t>!</w:t>
            </w:r>
            <w:r w:rsidRPr="00466B73">
              <w:rPr>
                <w:rFonts w:ascii="Calibri" w:hAnsi="Calibri" w:cs="Calibri"/>
              </w:rPr>
              <w:t xml:space="preserve"> </w:t>
            </w:r>
            <w:r w:rsidR="00466B73" w:rsidRPr="00466B73">
              <w:rPr>
                <w:rFonts w:ascii="Calibri" w:hAnsi="Calibri" w:cs="Calibri"/>
              </w:rPr>
              <w:t xml:space="preserve">We’ve </w:t>
            </w:r>
            <w:r w:rsidR="00466B73">
              <w:rPr>
                <w:rFonts w:ascii="Calibri" w:hAnsi="Calibri" w:cs="Calibri"/>
              </w:rPr>
              <w:t>r</w:t>
            </w:r>
            <w:r w:rsidR="00466B73" w:rsidRPr="00466B73">
              <w:rPr>
                <w:rFonts w:ascii="Calibri" w:hAnsi="Calibri" w:cs="Calibri"/>
              </w:rPr>
              <w:t>ounded up the</w:t>
            </w:r>
            <w:r w:rsidR="00CA7580">
              <w:rPr>
                <w:rFonts w:ascii="Calibri" w:hAnsi="Calibri" w:cs="Calibri"/>
              </w:rPr>
              <w:t>se</w:t>
            </w:r>
            <w:r w:rsidR="00466B73" w:rsidRPr="00466B73">
              <w:rPr>
                <w:rFonts w:ascii="Calibri" w:hAnsi="Calibri" w:cs="Calibri"/>
              </w:rPr>
              <w:t xml:space="preserve"> go</w:t>
            </w:r>
            <w:r w:rsidR="00466B73" w:rsidRPr="00466B73">
              <w:rPr>
                <w:rFonts w:ascii="Calibri" w:hAnsi="Calibri" w:cs="Calibri"/>
              </w:rPr>
              <w:noBreakHyphen/>
              <w:t xml:space="preserve">to </w:t>
            </w:r>
            <w:r w:rsidR="00466B73">
              <w:rPr>
                <w:rFonts w:ascii="Calibri" w:hAnsi="Calibri" w:cs="Calibri"/>
              </w:rPr>
              <w:t xml:space="preserve">TG </w:t>
            </w:r>
            <w:r w:rsidR="00466B73" w:rsidRPr="00466B73">
              <w:rPr>
                <w:rFonts w:ascii="Calibri" w:hAnsi="Calibri" w:cs="Calibri"/>
              </w:rPr>
              <w:t xml:space="preserve">resources for benefits questions, support, and </w:t>
            </w:r>
            <w:r w:rsidR="00466B73">
              <w:rPr>
                <w:rFonts w:ascii="Calibri" w:hAnsi="Calibri" w:cs="Calibri"/>
              </w:rPr>
              <w:t>where to find care when you need it.</w:t>
            </w:r>
          </w:p>
          <w:p w14:paraId="5F5AC774" w14:textId="3D2AB871" w:rsidR="00466B73" w:rsidRDefault="00466B73" w:rsidP="00466B73"/>
        </w:tc>
      </w:tr>
      <w:tr w:rsidR="00107AED" w14:paraId="4DF8CD05" w14:textId="77777777" w:rsidTr="0072381C">
        <w:trPr>
          <w:trHeight w:val="2727"/>
        </w:trPr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F6B8E0" w14:textId="77777777" w:rsidR="00107AED" w:rsidRDefault="00107AED" w:rsidP="00107AED">
            <w:pPr>
              <w:jc w:val="center"/>
            </w:pPr>
            <w:r>
              <w:rPr>
                <w:rFonts w:ascii="Calibri" w:hAnsi="Calibri" w:cs="Calibri"/>
                <w:noProof/>
                <w:sz w:val="22"/>
              </w:rPr>
              <w:drawing>
                <wp:inline distT="0" distB="0" distL="0" distR="0" wp14:anchorId="2EA4DAB3" wp14:editId="0566D102">
                  <wp:extent cx="1348319" cy="224287"/>
                  <wp:effectExtent l="0" t="0" r="4445" b="4445"/>
                  <wp:docPr id="4902653" name="Picture 1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653" name="Picture 1" descr="A blue and black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465" cy="25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220BE2" w14:textId="1E1F379A" w:rsidR="00107AED" w:rsidRPr="00F16D87" w:rsidRDefault="00107AED" w:rsidP="00107AE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2"/>
              </w:rPr>
              <w:drawing>
                <wp:inline distT="0" distB="0" distL="0" distR="0" wp14:anchorId="546CF43F" wp14:editId="72E2E967">
                  <wp:extent cx="1068595" cy="1068595"/>
                  <wp:effectExtent l="0" t="0" r="0" b="0"/>
                  <wp:docPr id="1169245475" name="Picture 2" descr="A qr code with a heart and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45475" name="Picture 2" descr="A qr code with a heart and circle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5786" cy="108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DBD8BC" w14:textId="1EE0C206" w:rsidR="00107AED" w:rsidRPr="00107AED" w:rsidRDefault="00107AED" w:rsidP="00107AE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7AED">
              <w:rPr>
                <w:rFonts w:ascii="Calibri" w:hAnsi="Calibri" w:cs="Calibri"/>
                <w:b/>
                <w:bCs/>
                <w:sz w:val="28"/>
                <w:szCs w:val="28"/>
              </w:rPr>
              <w:t>Have Benefits Questions? Start with the Heart!</w:t>
            </w:r>
          </w:p>
          <w:p w14:paraId="702EC998" w14:textId="63C898BC" w:rsidR="0072381C" w:rsidRPr="0072381C" w:rsidRDefault="00107AED" w:rsidP="0072381C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07AED">
              <w:rPr>
                <w:rFonts w:ascii="Calibri" w:hAnsi="Calibri" w:cs="Calibri"/>
                <w:color w:val="000000" w:themeColor="text1"/>
              </w:rPr>
              <w:t>Need help finding benefits resources but aren’t sure where to start</w:t>
            </w:r>
            <w:r>
              <w:rPr>
                <w:rFonts w:ascii="Calibri" w:hAnsi="Calibri" w:cs="Calibri"/>
                <w:color w:val="000000" w:themeColor="text1"/>
              </w:rPr>
              <w:t xml:space="preserve">? Need more information about TG benefit plans and programs? </w:t>
            </w:r>
            <w:r w:rsidRPr="00107AED">
              <w:rPr>
                <w:rFonts w:ascii="Calibri" w:hAnsi="Calibri" w:cs="Calibri"/>
                <w:color w:val="000000" w:themeColor="text1"/>
              </w:rPr>
              <w:t xml:space="preserve">Transcarent provides virtual access to care, benefits navigation, clinical guidance, care delivery and more! </w:t>
            </w:r>
            <w:r w:rsidRPr="00107AED">
              <w:rPr>
                <w:rFonts w:ascii="Calibri" w:hAnsi="Calibri" w:cs="Calibri"/>
                <w:b/>
                <w:bCs/>
                <w:color w:val="000000" w:themeColor="text1"/>
              </w:rPr>
              <w:t>Scan the QR code</w:t>
            </w:r>
            <w:r w:rsidRPr="00107AED">
              <w:rPr>
                <w:rFonts w:ascii="Calibri" w:hAnsi="Calibri" w:cs="Calibri"/>
                <w:color w:val="000000" w:themeColor="text1"/>
              </w:rPr>
              <w:t xml:space="preserve"> to download the app so it’s available when you need it. You can also visit </w:t>
            </w:r>
            <w:hyperlink r:id="rId8" w:history="1">
              <w:r w:rsidRPr="00107AED">
                <w:rPr>
                  <w:rStyle w:val="Hyperlink"/>
                  <w:rFonts w:ascii="Calibri" w:hAnsi="Calibri" w:cs="Calibri"/>
                  <w:b/>
                  <w:bCs/>
                </w:rPr>
                <w:t>member.transcarent.com</w:t>
              </w:r>
            </w:hyperlink>
            <w:r w:rsidRPr="00107AED">
              <w:rPr>
                <w:rFonts w:ascii="Calibri" w:hAnsi="Calibri" w:cs="Calibri"/>
                <w:color w:val="000000" w:themeColor="text1"/>
              </w:rPr>
              <w:t xml:space="preserve"> or call </w:t>
            </w:r>
            <w:r w:rsidRPr="00107AED">
              <w:rPr>
                <w:rFonts w:ascii="Calibri" w:hAnsi="Calibri" w:cs="Calibri"/>
                <w:b/>
                <w:bCs/>
                <w:color w:val="000000" w:themeColor="text1"/>
              </w:rPr>
              <w:t>888-994-8481.</w:t>
            </w:r>
          </w:p>
        </w:tc>
      </w:tr>
      <w:tr w:rsidR="00107AED" w14:paraId="0D480C22" w14:textId="77777777" w:rsidTr="0072381C">
        <w:tc>
          <w:tcPr>
            <w:tcW w:w="233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34D78B" w14:textId="77777777" w:rsidR="00107AED" w:rsidRDefault="00107AED" w:rsidP="00107AED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Scan here:</w:t>
            </w:r>
          </w:p>
          <w:p w14:paraId="7BA5B4A4" w14:textId="363DD420" w:rsidR="00107AED" w:rsidRPr="00F16D87" w:rsidRDefault="00107AED" w:rsidP="00107AE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CFFA75D" wp14:editId="76C48F85">
                  <wp:extent cx="943107" cy="943107"/>
                  <wp:effectExtent l="0" t="0" r="9525" b="9525"/>
                  <wp:docPr id="15453950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17731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8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E31B16" w14:textId="77777777" w:rsidR="00107AED" w:rsidRDefault="00107AED" w:rsidP="00107AE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My Smart Contacts</w:t>
            </w:r>
          </w:p>
          <w:p w14:paraId="7E2BA593" w14:textId="1B1D6B05" w:rsidR="00107AED" w:rsidRPr="0072381C" w:rsidRDefault="00107AED" w:rsidP="0072381C">
            <w:pPr>
              <w:pStyle w:val="Pa12"/>
              <w:spacing w:after="80"/>
              <w:rPr>
                <w:rFonts w:ascii="Calibri" w:hAnsi="Calibri" w:cs="Calibri"/>
                <w:color w:val="221E1F"/>
              </w:rPr>
            </w:pPr>
            <w:r>
              <w:rPr>
                <w:rFonts w:ascii="Calibri" w:hAnsi="Calibri" w:cs="Calibri"/>
                <w:color w:val="221E1F"/>
              </w:rPr>
              <w:t>Stay connected to your benefits anytime, anywhere! My Smart Contacts contains contact</w:t>
            </w:r>
            <w:r w:rsidRPr="00A161E7">
              <w:rPr>
                <w:rFonts w:ascii="Calibri" w:hAnsi="Calibri" w:cs="Calibri"/>
                <w:color w:val="221E1F"/>
              </w:rPr>
              <w:t xml:space="preserve"> information for all </w:t>
            </w:r>
            <w:r>
              <w:rPr>
                <w:rFonts w:ascii="Calibri" w:hAnsi="Calibri" w:cs="Calibri"/>
                <w:color w:val="221E1F"/>
              </w:rPr>
              <w:t>of your</w:t>
            </w:r>
            <w:r w:rsidRPr="00A161E7">
              <w:rPr>
                <w:rFonts w:ascii="Calibri" w:hAnsi="Calibri" w:cs="Calibri"/>
                <w:color w:val="221E1F"/>
              </w:rPr>
              <w:t xml:space="preserve"> benefit carriers – in one convenient place!</w:t>
            </w:r>
            <w:r>
              <w:rPr>
                <w:rFonts w:ascii="Calibri" w:hAnsi="Calibri" w:cs="Calibri"/>
                <w:color w:val="221E1F"/>
              </w:rPr>
              <w:t xml:space="preserve"> Before hitting the road, s</w:t>
            </w:r>
            <w:r w:rsidRPr="00A161E7">
              <w:rPr>
                <w:rFonts w:ascii="Calibri" w:hAnsi="Calibri" w:cs="Calibri"/>
                <w:color w:val="221E1F"/>
              </w:rPr>
              <w:t>ave My Smart Contacts to your mobile device’s home page and share with dependents on your plans</w:t>
            </w:r>
            <w:r>
              <w:rPr>
                <w:rFonts w:ascii="Calibri" w:hAnsi="Calibri" w:cs="Calibri"/>
                <w:color w:val="221E1F"/>
              </w:rPr>
              <w:t xml:space="preserve"> so you’ll all have quick and easy access to your benefits!</w:t>
            </w:r>
          </w:p>
        </w:tc>
        <w:tc>
          <w:tcPr>
            <w:tcW w:w="224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7BF3E2" w14:textId="11CC1AAB" w:rsidR="00107AED" w:rsidRPr="00F16D87" w:rsidRDefault="00107AED" w:rsidP="00107AED">
            <w:pPr>
              <w:ind w:right="432"/>
              <w:jc w:val="center"/>
            </w:pPr>
            <w:r w:rsidRPr="00A161E7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E27CDC3" wp14:editId="380DA228">
                  <wp:extent cx="790328" cy="1433423"/>
                  <wp:effectExtent l="133350" t="76200" r="86360" b="128905"/>
                  <wp:docPr id="10978070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157" cy="14458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1C" w14:paraId="4D6C1F0C" w14:textId="77777777" w:rsidTr="0072381C"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515364" w14:textId="77777777" w:rsidR="0072381C" w:rsidRDefault="0072381C" w:rsidP="00107AED">
            <w:pPr>
              <w:ind w:right="432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</w:p>
          <w:p w14:paraId="76B5B0C1" w14:textId="589C2C80" w:rsidR="0097761C" w:rsidRDefault="0072381C" w:rsidP="00107AED">
            <w:pPr>
              <w:ind w:right="432"/>
            </w:pPr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WHERE TO GO FOR</w:t>
            </w:r>
            <w:r w:rsidRPr="00F16D87"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 xml:space="preserve"> CARE!</w:t>
            </w:r>
          </w:p>
          <w:p w14:paraId="5B52D931" w14:textId="308AF7F6" w:rsidR="0097761C" w:rsidRDefault="0097761C" w:rsidP="00107AED">
            <w:pPr>
              <w:ind w:right="432"/>
              <w:rPr>
                <w:rFonts w:ascii="Calibri" w:hAnsi="Calibri" w:cs="Calibri"/>
              </w:rPr>
            </w:pPr>
            <w:r w:rsidRPr="0072381C">
              <w:rPr>
                <w:rFonts w:ascii="Calibri" w:hAnsi="Calibri" w:cs="Calibri"/>
              </w:rPr>
              <w:t>When it’s serious, the emergency room is the right place to go.</w:t>
            </w:r>
            <w:r w:rsidR="0072381C" w:rsidRPr="0072381C">
              <w:rPr>
                <w:rFonts w:ascii="Calibri" w:hAnsi="Calibri" w:cs="Calibri"/>
              </w:rPr>
              <w:t xml:space="preserve"> But for routine issues like an ear infection, sore throat or feeling under the weather</w:t>
            </w:r>
            <w:r w:rsidRPr="0072381C">
              <w:rPr>
                <w:rFonts w:ascii="Calibri" w:hAnsi="Calibri" w:cs="Calibri"/>
              </w:rPr>
              <w:t>, your TG benefits give you convenient</w:t>
            </w:r>
            <w:r w:rsidR="0072381C">
              <w:rPr>
                <w:rFonts w:ascii="Calibri" w:hAnsi="Calibri" w:cs="Calibri"/>
              </w:rPr>
              <w:t>,</w:t>
            </w:r>
            <w:r w:rsidRPr="0072381C">
              <w:rPr>
                <w:rFonts w:ascii="Calibri" w:hAnsi="Calibri" w:cs="Calibri"/>
              </w:rPr>
              <w:t xml:space="preserve"> in</w:t>
            </w:r>
            <w:r w:rsidRPr="0072381C">
              <w:rPr>
                <w:rFonts w:ascii="Calibri" w:hAnsi="Calibri" w:cs="Calibri"/>
              </w:rPr>
              <w:noBreakHyphen/>
              <w:t>network options that</w:t>
            </w:r>
            <w:r w:rsidR="0072381C" w:rsidRPr="0072381C">
              <w:rPr>
                <w:rFonts w:ascii="Calibri" w:hAnsi="Calibri" w:cs="Calibri"/>
              </w:rPr>
              <w:t xml:space="preserve"> fit into your schedule and help you save money!</w:t>
            </w:r>
          </w:p>
          <w:p w14:paraId="502C4551" w14:textId="577F513E" w:rsidR="0072381C" w:rsidRPr="0072381C" w:rsidRDefault="0072381C" w:rsidP="00107AED">
            <w:pPr>
              <w:ind w:right="432"/>
              <w:rPr>
                <w:rFonts w:ascii="Calibri" w:hAnsi="Calibri" w:cs="Calibri"/>
              </w:rPr>
            </w:pPr>
          </w:p>
        </w:tc>
      </w:tr>
      <w:tr w:rsidR="0097761C" w14:paraId="5C8C9BC6" w14:textId="77777777" w:rsidTr="0072381C">
        <w:trPr>
          <w:trHeight w:val="30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0938F9" w14:textId="49CF7733" w:rsidR="0097761C" w:rsidRDefault="0097761C" w:rsidP="0097761C">
            <w:pPr>
              <w:jc w:val="center"/>
            </w:pPr>
            <w:r w:rsidRPr="005D0621">
              <w:rPr>
                <w:rFonts w:cstheme="minorHAnsi"/>
                <w:b/>
                <w:bCs/>
                <w:color w:val="00B050"/>
                <w:sz w:val="48"/>
                <w:szCs w:val="48"/>
              </w:rPr>
              <w:t>$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DB4FCB" w14:textId="371CC2E2" w:rsidR="0097761C" w:rsidRDefault="0097761C" w:rsidP="0097761C">
            <w:pPr>
              <w:jc w:val="center"/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8"/>
                <w:szCs w:val="28"/>
                <w:lang w:eastAsia="ja-JP"/>
              </w:rPr>
              <w:drawing>
                <wp:anchor distT="0" distB="0" distL="114300" distR="114300" simplePos="0" relativeHeight="251659264" behindDoc="0" locked="0" layoutInCell="1" allowOverlap="1" wp14:anchorId="656D2C65" wp14:editId="284D05CB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98425</wp:posOffset>
                  </wp:positionV>
                  <wp:extent cx="196850" cy="196850"/>
                  <wp:effectExtent l="0" t="0" r="0" b="0"/>
                  <wp:wrapNone/>
                  <wp:docPr id="5" name="Graphic 5" descr="Medica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Medical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2"/>
                <w:lang w:eastAsia="ja-JP"/>
              </w:rPr>
              <w:drawing>
                <wp:inline distT="0" distB="0" distL="0" distR="0" wp14:anchorId="2DE41430" wp14:editId="21E74E4E">
                  <wp:extent cx="444500" cy="444500"/>
                  <wp:effectExtent l="0" t="0" r="0" b="0"/>
                  <wp:docPr id="3" name="Graphic 3" descr="Smart Pho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mart Phone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910672" w14:textId="051E28CE" w:rsidR="0097761C" w:rsidRPr="0072381C" w:rsidRDefault="0097761C" w:rsidP="0097761C">
            <w:pPr>
              <w:rPr>
                <w:rFonts w:ascii="Calibri" w:hAnsi="Calibri" w:cs="Calibri"/>
              </w:rPr>
            </w:pPr>
            <w:r w:rsidRPr="0072381C">
              <w:rPr>
                <w:rFonts w:ascii="Calibri" w:hAnsi="Calibri" w:cs="Calibri"/>
                <w:b/>
                <w:bCs/>
              </w:rPr>
              <w:t>Virtual Visits:</w:t>
            </w:r>
            <w:r w:rsidRPr="0072381C">
              <w:rPr>
                <w:rFonts w:ascii="Calibri" w:hAnsi="Calibri" w:cs="Calibri"/>
              </w:rPr>
              <w:t xml:space="preserve"> Get care 24/7 from wherever you are! You can video chat with licensed doctors by web, phone or mobile app.</w:t>
            </w:r>
          </w:p>
        </w:tc>
        <w:tc>
          <w:tcPr>
            <w:tcW w:w="1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03FA5"/>
          </w:tcPr>
          <w:p w14:paraId="2308B4D9" w14:textId="77777777" w:rsidR="0097761C" w:rsidRDefault="0097761C" w:rsidP="0097761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cstheme="minorHAnsi"/>
                <w:b/>
                <w:bCs/>
                <w:noProof/>
                <w:sz w:val="22"/>
                <w:lang w:eastAsia="ja-JP"/>
              </w:rPr>
              <w:drawing>
                <wp:anchor distT="0" distB="0" distL="114300" distR="114300" simplePos="0" relativeHeight="251664384" behindDoc="0" locked="0" layoutInCell="1" allowOverlap="1" wp14:anchorId="7C02CAB7" wp14:editId="574097BE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41275</wp:posOffset>
                  </wp:positionV>
                  <wp:extent cx="457200" cy="457200"/>
                  <wp:effectExtent l="0" t="0" r="0" b="0"/>
                  <wp:wrapNone/>
                  <wp:docPr id="11" name="Graphic 11" descr="Lights 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Lights On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761C">
              <w:rPr>
                <w:rFonts w:cstheme="minorHAnsi"/>
                <w:b/>
                <w:bCs/>
                <w:color w:val="FFFFFF" w:themeColor="background1"/>
                <w:sz w:val="22"/>
              </w:rPr>
              <w:br/>
            </w:r>
            <w:r w:rsidRPr="0097761C">
              <w:rPr>
                <w:rFonts w:cstheme="minorHAnsi"/>
                <w:b/>
                <w:bCs/>
                <w:color w:val="FFFFFF" w:themeColor="background1"/>
                <w:sz w:val="22"/>
              </w:rPr>
              <w:br/>
            </w:r>
          </w:p>
          <w:p w14:paraId="47EFFB68" w14:textId="32FE2112" w:rsidR="0097761C" w:rsidRPr="0072381C" w:rsidRDefault="0097761C" w:rsidP="0097761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72381C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 xml:space="preserve">Compared to urgent care, the cost of treating a non-life-threatening condition can cost up to </w:t>
            </w:r>
            <w:r w:rsidR="00CA7580">
              <w:rPr>
                <w:rFonts w:ascii="Calibri" w:hAnsi="Calibri" w:cs="Calibri"/>
                <w:b/>
                <w:bCs/>
                <w:color w:val="FFFFFF" w:themeColor="background1"/>
              </w:rPr>
              <w:t>five</w:t>
            </w:r>
            <w:r w:rsidRPr="0072381C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times more at the ER!</w:t>
            </w:r>
          </w:p>
        </w:tc>
      </w:tr>
      <w:tr w:rsidR="0097761C" w14:paraId="4D11E0E2" w14:textId="77777777" w:rsidTr="0072381C">
        <w:trPr>
          <w:trHeight w:val="30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B525A" w14:textId="295ED60B" w:rsidR="0097761C" w:rsidRDefault="0097761C" w:rsidP="0097761C">
            <w:pPr>
              <w:jc w:val="center"/>
            </w:pPr>
            <w:r>
              <w:rPr>
                <w:rFonts w:cstheme="minorHAnsi"/>
                <w:b/>
                <w:bCs/>
                <w:color w:val="00B050"/>
                <w:sz w:val="48"/>
                <w:szCs w:val="48"/>
              </w:rPr>
              <w:lastRenderedPageBreak/>
              <w:t>$-$$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33344" w14:textId="36462D5A" w:rsidR="0097761C" w:rsidRDefault="0097761C" w:rsidP="0097761C">
            <w:r>
              <w:rPr>
                <w:rFonts w:cstheme="minorHAnsi"/>
                <w:b/>
                <w:bCs/>
                <w:noProof/>
                <w:color w:val="000000" w:themeColor="text1"/>
                <w:sz w:val="28"/>
                <w:szCs w:val="28"/>
                <w:lang w:eastAsia="ja-JP"/>
              </w:rPr>
              <w:drawing>
                <wp:anchor distT="0" distB="0" distL="114300" distR="114300" simplePos="0" relativeHeight="251660288" behindDoc="0" locked="0" layoutInCell="1" allowOverlap="1" wp14:anchorId="3D46A8DE" wp14:editId="5AC917F3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-63500</wp:posOffset>
                  </wp:positionV>
                  <wp:extent cx="419100" cy="419100"/>
                  <wp:effectExtent l="0" t="0" r="0" b="0"/>
                  <wp:wrapNone/>
                  <wp:docPr id="7" name="Graphic 7" descr="Doctor 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Doctor male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2991C" w14:textId="2E97791C" w:rsidR="0097761C" w:rsidRPr="0072381C" w:rsidRDefault="0097761C" w:rsidP="0097761C">
            <w:pPr>
              <w:rPr>
                <w:rFonts w:ascii="Calibri" w:hAnsi="Calibri" w:cs="Calibri"/>
              </w:rPr>
            </w:pPr>
            <w:r w:rsidRPr="0072381C">
              <w:rPr>
                <w:rFonts w:ascii="Calibri" w:hAnsi="Calibri" w:cs="Calibri"/>
                <w:b/>
                <w:bCs/>
              </w:rPr>
              <w:t>Doctor’s Office:</w:t>
            </w:r>
            <w:r w:rsidRPr="0072381C">
              <w:rPr>
                <w:rFonts w:ascii="Calibri" w:hAnsi="Calibri" w:cs="Calibri"/>
              </w:rPr>
              <w:t xml:space="preserve"> Generally</w:t>
            </w:r>
            <w:r w:rsidR="00CA7580">
              <w:rPr>
                <w:rFonts w:ascii="Calibri" w:hAnsi="Calibri" w:cs="Calibri"/>
              </w:rPr>
              <w:t>,</w:t>
            </w:r>
            <w:r w:rsidRPr="0072381C">
              <w:rPr>
                <w:rFonts w:ascii="Calibri" w:hAnsi="Calibri" w:cs="Calibri"/>
              </w:rPr>
              <w:t xml:space="preserve"> the best place to go for non-emergency care.</w:t>
            </w:r>
            <w:r w:rsidRPr="0072381C">
              <w:rPr>
                <w:rFonts w:ascii="Calibri" w:hAnsi="Calibri" w:cs="Calibri"/>
                <w:b/>
                <w:bCs/>
              </w:rPr>
              <w:t xml:space="preserve"> </w:t>
            </w:r>
            <w:r w:rsidRPr="0072381C">
              <w:rPr>
                <w:rFonts w:ascii="Calibri" w:hAnsi="Calibri" w:cs="Calibri"/>
              </w:rPr>
              <w:t>You’ll save money when getting care from in-network providers</w:t>
            </w:r>
          </w:p>
        </w:tc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03FA5"/>
          </w:tcPr>
          <w:p w14:paraId="7731D052" w14:textId="50D64B80" w:rsidR="0097761C" w:rsidRDefault="0097761C" w:rsidP="0097761C"/>
        </w:tc>
      </w:tr>
      <w:tr w:rsidR="0097761C" w14:paraId="429C291E" w14:textId="77777777" w:rsidTr="0072381C">
        <w:trPr>
          <w:trHeight w:val="30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D57B01" w14:textId="3614CF3B" w:rsidR="0097761C" w:rsidRDefault="0097761C" w:rsidP="0097761C">
            <w:pPr>
              <w:jc w:val="center"/>
            </w:pPr>
            <w:r>
              <w:rPr>
                <w:rFonts w:cstheme="minorHAnsi"/>
                <w:b/>
                <w:bCs/>
                <w:color w:val="00B050"/>
                <w:sz w:val="48"/>
                <w:szCs w:val="48"/>
              </w:rPr>
              <w:t>$$$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DCD652" w14:textId="575EDCC7" w:rsidR="0097761C" w:rsidRDefault="0097761C" w:rsidP="0097761C">
            <w:pPr>
              <w:jc w:val="center"/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8"/>
                <w:szCs w:val="28"/>
                <w:lang w:eastAsia="ja-JP"/>
              </w:rPr>
              <w:drawing>
                <wp:anchor distT="0" distB="0" distL="114300" distR="114300" simplePos="0" relativeHeight="251661312" behindDoc="0" locked="0" layoutInCell="1" allowOverlap="1" wp14:anchorId="6D48B008" wp14:editId="189618C5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-3175</wp:posOffset>
                  </wp:positionV>
                  <wp:extent cx="444500" cy="444500"/>
                  <wp:effectExtent l="0" t="0" r="0" b="0"/>
                  <wp:wrapNone/>
                  <wp:docPr id="8" name="Graphic 8" descr="Heart with pul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Heart with pulse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16AC22" w14:textId="65E93E91" w:rsidR="0097761C" w:rsidRPr="0072381C" w:rsidRDefault="0097761C" w:rsidP="0097761C">
            <w:pPr>
              <w:rPr>
                <w:rFonts w:ascii="Calibri" w:hAnsi="Calibri" w:cs="Calibri"/>
              </w:rPr>
            </w:pPr>
            <w:r w:rsidRPr="0072381C">
              <w:rPr>
                <w:rFonts w:ascii="Calibri" w:hAnsi="Calibri" w:cs="Calibri"/>
                <w:b/>
                <w:bCs/>
              </w:rPr>
              <w:t>Urgent Care:</w:t>
            </w:r>
            <w:r w:rsidRPr="0072381C">
              <w:rPr>
                <w:rFonts w:ascii="Calibri" w:hAnsi="Calibri" w:cs="Calibri"/>
              </w:rPr>
              <w:t xml:space="preserve"> Best for non-emergency care on evenings and weekends. Most have online or phone check-in.</w:t>
            </w:r>
          </w:p>
        </w:tc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03FA5"/>
          </w:tcPr>
          <w:p w14:paraId="41ED2B1F" w14:textId="2D6E5C3E" w:rsidR="0097761C" w:rsidRDefault="0097761C" w:rsidP="0097761C"/>
        </w:tc>
      </w:tr>
      <w:tr w:rsidR="0097761C" w14:paraId="2E762F37" w14:textId="77777777" w:rsidTr="0072381C">
        <w:trPr>
          <w:trHeight w:val="30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E3D8B" w14:textId="479394D1" w:rsidR="0097761C" w:rsidRDefault="0097761C" w:rsidP="0097761C">
            <w:pPr>
              <w:jc w:val="center"/>
            </w:pPr>
            <w:r>
              <w:rPr>
                <w:rFonts w:cstheme="minorHAnsi"/>
                <w:b/>
                <w:bCs/>
                <w:color w:val="00B050"/>
                <w:sz w:val="48"/>
                <w:szCs w:val="48"/>
              </w:rPr>
              <w:t>$$$$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D562" w14:textId="03C0F90F" w:rsidR="0097761C" w:rsidRDefault="0097761C" w:rsidP="0097761C">
            <w:pPr>
              <w:jc w:val="center"/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8"/>
                <w:szCs w:val="28"/>
                <w:lang w:eastAsia="ja-JP"/>
              </w:rPr>
              <w:drawing>
                <wp:anchor distT="0" distB="0" distL="114300" distR="114300" simplePos="0" relativeHeight="251662336" behindDoc="0" locked="0" layoutInCell="1" allowOverlap="1" wp14:anchorId="1D1F73D7" wp14:editId="5AABCC35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-213995</wp:posOffset>
                  </wp:positionV>
                  <wp:extent cx="444500" cy="444500"/>
                  <wp:effectExtent l="0" t="0" r="0" b="0"/>
                  <wp:wrapNone/>
                  <wp:docPr id="12" name="Graphic 12" descr="Hospita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Hospital with solid fill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61347" w14:textId="2BBCF731" w:rsidR="0097761C" w:rsidRPr="0072381C" w:rsidRDefault="0097761C" w:rsidP="0097761C">
            <w:pPr>
              <w:rPr>
                <w:rFonts w:ascii="Calibri" w:hAnsi="Calibri" w:cs="Calibri"/>
              </w:rPr>
            </w:pPr>
            <w:r w:rsidRPr="0072381C">
              <w:rPr>
                <w:rFonts w:ascii="Calibri" w:hAnsi="Calibri" w:cs="Calibri"/>
                <w:b/>
                <w:bCs/>
              </w:rPr>
              <w:t xml:space="preserve">Emergency Room (ER): </w:t>
            </w:r>
            <w:r w:rsidRPr="0072381C">
              <w:rPr>
                <w:rFonts w:ascii="Calibri" w:hAnsi="Calibri" w:cs="Calibri"/>
              </w:rPr>
              <w:t>Open 24/7. Highest out-of-pocket cost to you and</w:t>
            </w:r>
            <w:r w:rsidR="00CA7580">
              <w:rPr>
                <w:rFonts w:ascii="Calibri" w:hAnsi="Calibri" w:cs="Calibri"/>
              </w:rPr>
              <w:t xml:space="preserve"> typically</w:t>
            </w:r>
            <w:r w:rsidRPr="0072381C">
              <w:rPr>
                <w:rFonts w:ascii="Calibri" w:hAnsi="Calibri" w:cs="Calibri"/>
              </w:rPr>
              <w:t xml:space="preserve"> longest wait times. May be multiple bills for services.</w:t>
            </w:r>
          </w:p>
        </w:tc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03FA5"/>
          </w:tcPr>
          <w:p w14:paraId="7BE22A1A" w14:textId="11B3ECC0" w:rsidR="0097761C" w:rsidRDefault="0097761C" w:rsidP="0097761C"/>
        </w:tc>
      </w:tr>
      <w:tr w:rsidR="0097761C" w14:paraId="631C0DD1" w14:textId="77777777" w:rsidTr="0072381C">
        <w:trPr>
          <w:trHeight w:val="20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A48F59" w14:textId="77777777" w:rsidR="0097761C" w:rsidRPr="0097761C" w:rsidRDefault="0097761C" w:rsidP="0097761C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sz w:val="4"/>
                <w:szCs w:val="4"/>
              </w:rPr>
            </w:pPr>
          </w:p>
        </w:tc>
      </w:tr>
      <w:tr w:rsidR="00107AED" w14:paraId="5273CF7C" w14:textId="77777777" w:rsidTr="0072381C"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60A9"/>
          </w:tcPr>
          <w:p w14:paraId="63DCBEF4" w14:textId="77777777" w:rsidR="00107AED" w:rsidRPr="00D97219" w:rsidRDefault="00107AED" w:rsidP="00107AE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D9721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Want More Details About Your TG Benefits? </w:t>
            </w:r>
          </w:p>
          <w:p w14:paraId="3491A500" w14:textId="3652B82F" w:rsidR="00107AED" w:rsidRPr="00107AED" w:rsidRDefault="00107AED" w:rsidP="00107AE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Be sure to visit our benefits website, </w:t>
            </w:r>
            <w:hyperlink r:id="rId23" w:history="1">
              <w:r w:rsidRPr="00D97219">
                <w:rPr>
                  <w:rStyle w:val="Hyperlink"/>
                  <w:rFonts w:ascii="Calibri" w:hAnsi="Calibri" w:cs="Calibri"/>
                  <w:b/>
                  <w:bCs/>
                  <w:color w:val="FFFFFF" w:themeColor="background1"/>
                </w:rPr>
                <w:t>tggroupbenefits.com</w:t>
              </w:r>
            </w:hyperlink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(password: TGNA; location: United States). </w:t>
            </w:r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br/>
              <w:t xml:space="preserve">There, you’ll find helpful information about all your benefits. </w:t>
            </w:r>
          </w:p>
        </w:tc>
      </w:tr>
    </w:tbl>
    <w:p w14:paraId="0EC00C67" w14:textId="77777777" w:rsidR="00632DF5" w:rsidRDefault="00632DF5"/>
    <w:sectPr w:rsidR="0063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33F3F"/>
    <w:multiLevelType w:val="hybridMultilevel"/>
    <w:tmpl w:val="3B72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7"/>
    <w:rsid w:val="00037F2E"/>
    <w:rsid w:val="000B600C"/>
    <w:rsid w:val="00107AED"/>
    <w:rsid w:val="00223BC6"/>
    <w:rsid w:val="00466B73"/>
    <w:rsid w:val="0060159C"/>
    <w:rsid w:val="00632DF5"/>
    <w:rsid w:val="0072381C"/>
    <w:rsid w:val="0097761C"/>
    <w:rsid w:val="00BD5DC6"/>
    <w:rsid w:val="00CA7580"/>
    <w:rsid w:val="00F1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950B"/>
  <w15:chartTrackingRefBased/>
  <w15:docId w15:val="{29D5018B-204F-4EA3-BB8A-DFFE7C50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D87"/>
    <w:rPr>
      <w:color w:val="467886" w:themeColor="hyperlink"/>
      <w:u w:val="single"/>
    </w:rPr>
  </w:style>
  <w:style w:type="paragraph" w:customStyle="1" w:styleId="Pa12">
    <w:name w:val="Pa12"/>
    <w:basedOn w:val="Normal"/>
    <w:next w:val="Normal"/>
    <w:uiPriority w:val="99"/>
    <w:rsid w:val="00107AED"/>
    <w:pPr>
      <w:autoSpaceDE w:val="0"/>
      <w:autoSpaceDN w:val="0"/>
      <w:adjustRightInd w:val="0"/>
      <w:spacing w:after="0" w:line="181" w:lineRule="atLeast"/>
    </w:pPr>
    <w:rPr>
      <w:rFonts w:ascii="Gotham Book" w:hAnsi="Gotham Book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.transcarent.com/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23" Type="http://schemas.openxmlformats.org/officeDocument/2006/relationships/hyperlink" Target="http://www.tggroupbenefits.com" TargetMode="Externa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Cornell</dc:creator>
  <cp:keywords/>
  <dc:description/>
  <cp:lastModifiedBy>Schott Stacy</cp:lastModifiedBy>
  <cp:revision>2</cp:revision>
  <dcterms:created xsi:type="dcterms:W3CDTF">2026-01-23T15:23:00Z</dcterms:created>
  <dcterms:modified xsi:type="dcterms:W3CDTF">2026-01-23T15:23:00Z</dcterms:modified>
</cp:coreProperties>
</file>